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b/>
          <w:i/>
          <w:sz w:val="28"/>
          <w:lang w:val="en-US" w:eastAsia="zh-CN"/>
        </w:rPr>
      </w:pPr>
      <w:r>
        <w:rPr>
          <w:rFonts w:ascii="Arial" w:hAnsi="Arial" w:eastAsia="宋体"/>
          <w:b/>
          <w:sz w:val="24"/>
        </w:rPr>
        <w:t>3GPP TSG-SA3 Meeting #11</w:t>
      </w:r>
      <w:r>
        <w:rPr>
          <w:rFonts w:hint="eastAsia" w:ascii="Arial" w:hAnsi="Arial" w:eastAsia="宋体"/>
          <w:b/>
          <w:sz w:val="24"/>
          <w:lang w:val="en-US" w:eastAsia="zh-CN"/>
        </w:rPr>
        <w:t>9</w:t>
      </w:r>
      <w:r>
        <w:rPr>
          <w:rFonts w:ascii="Arial" w:hAnsi="Arial" w:eastAsia="宋体"/>
          <w:b/>
          <w:i/>
          <w:sz w:val="28"/>
        </w:rPr>
        <w:tab/>
      </w:r>
      <w:r>
        <w:rPr>
          <w:rFonts w:ascii="Arial" w:hAnsi="Arial" w:eastAsia="宋体"/>
          <w:b/>
          <w:i/>
          <w:sz w:val="28"/>
        </w:rPr>
        <w:t>S3-24</w:t>
      </w:r>
      <w:r>
        <w:rPr>
          <w:rFonts w:hint="eastAsia" w:ascii="Arial" w:hAnsi="Arial" w:eastAsia="宋体"/>
          <w:b/>
          <w:i/>
          <w:sz w:val="28"/>
          <w:lang w:val="en-US" w:eastAsia="zh-CN"/>
        </w:rPr>
        <w:t>4782</w:t>
      </w:r>
    </w:p>
    <w:p>
      <w:pPr>
        <w:widowControl w:val="0"/>
        <w:rPr>
          <w:rFonts w:ascii="Arial" w:hAnsi="Arial" w:eastAsia="宋体"/>
          <w:bCs/>
          <w:sz w:val="24"/>
        </w:rPr>
      </w:pPr>
      <w:r>
        <w:rPr>
          <w:rFonts w:hint="eastAsia" w:ascii="Arial" w:hAnsi="Arial" w:eastAsia="宋体"/>
          <w:b/>
          <w:sz w:val="24"/>
          <w:lang w:val="en-US" w:eastAsia="zh-CN"/>
        </w:rPr>
        <w:t xml:space="preserve">Orlando, US </w:t>
      </w:r>
      <w:r>
        <w:rPr>
          <w:rFonts w:hint="eastAsia" w:ascii="Arial" w:hAnsi="Arial" w:eastAsia="宋体"/>
          <w:b/>
          <w:sz w:val="24"/>
        </w:rPr>
        <w:t xml:space="preserve"> 1</w:t>
      </w:r>
      <w:r>
        <w:rPr>
          <w:rFonts w:hint="eastAsia" w:ascii="Arial" w:hAnsi="Arial" w:eastAsia="宋体"/>
          <w:b/>
          <w:sz w:val="24"/>
          <w:lang w:val="en-US" w:eastAsia="zh-CN"/>
        </w:rPr>
        <w:t xml:space="preserve">1 </w:t>
      </w:r>
      <w:r>
        <w:rPr>
          <w:rFonts w:hint="eastAsia" w:ascii="Arial" w:hAnsi="Arial" w:eastAsia="宋体"/>
          <w:b/>
          <w:sz w:val="24"/>
        </w:rPr>
        <w:t xml:space="preserve">- </w:t>
      </w:r>
      <w:r>
        <w:rPr>
          <w:rFonts w:hint="eastAsia" w:ascii="Arial" w:hAnsi="Arial" w:eastAsia="宋体"/>
          <w:b/>
          <w:sz w:val="24"/>
          <w:lang w:val="en-US" w:eastAsia="zh-CN"/>
        </w:rPr>
        <w:t>15</w:t>
      </w:r>
      <w:r>
        <w:rPr>
          <w:rFonts w:hint="eastAsia" w:ascii="Arial" w:hAnsi="Arial" w:eastAsia="宋体"/>
          <w:b/>
          <w:sz w:val="24"/>
        </w:rPr>
        <w:t xml:space="preserve"> </w:t>
      </w:r>
      <w:r>
        <w:rPr>
          <w:rFonts w:hint="eastAsia" w:ascii="Arial" w:hAnsi="Arial" w:eastAsia="宋体"/>
          <w:b/>
          <w:sz w:val="24"/>
          <w:lang w:val="en-US" w:eastAsia="zh-CN"/>
        </w:rPr>
        <w:t xml:space="preserve">November </w:t>
      </w:r>
      <w:r>
        <w:rPr>
          <w:rFonts w:ascii="Arial" w:hAnsi="Arial" w:eastAsia="宋体"/>
          <w:b/>
          <w:sz w:val="24"/>
        </w:rPr>
        <w:t>2024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Huawei</w:t>
      </w:r>
      <w:r>
        <w:rPr>
          <w:rFonts w:ascii="Arial" w:hAnsi="Arial" w:eastAsia="Batang"/>
          <w:b/>
          <w:sz w:val="24"/>
          <w:szCs w:val="24"/>
          <w:lang w:val="en-US" w:eastAsia="zh-CN"/>
        </w:rPr>
        <w:t>, Hisilicon</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Security Aspects of Enhancement of Support for Edge Computing in 5GC — phase 3</w:t>
      </w:r>
      <w:bookmarkStart w:id="0" w:name="_GoBack"/>
      <w:bookmarkEnd w:id="0"/>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New WID on </w:t>
      </w:r>
      <w:r>
        <w:rPr>
          <w:rFonts w:hint="eastAsia" w:ascii="Arial" w:hAnsi="Arial" w:eastAsia="Times New Roman" w:cs="Times New Roman"/>
          <w:color w:val="auto"/>
          <w:sz w:val="36"/>
          <w:szCs w:val="20"/>
          <w:lang w:eastAsia="ja-JP"/>
        </w:rPr>
        <w:t>Security Aspects of Enhancement of Support for Edge Computing in 5GC — phase 3</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 xml:space="preserve"> TBD</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yellow"/>
          <w:lang w:eastAsia="ja-JP"/>
        </w:rPr>
      </w:pPr>
      <w:r>
        <w:rPr>
          <w:b w:val="0"/>
          <w:sz w:val="36"/>
          <w:lang w:eastAsia="ja-JP"/>
        </w:rPr>
        <w:t>1</w:t>
      </w:r>
      <w:r>
        <w:rPr>
          <w:b w:val="0"/>
          <w:sz w:val="36"/>
          <w:lang w:eastAsia="ja-JP"/>
        </w:rPr>
        <w:tab/>
      </w:r>
      <w:r>
        <w:rPr>
          <w:b w:val="0"/>
          <w:sz w:val="36"/>
          <w:highlight w:val="none"/>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rPr>
                <w:rFonts w:hint="eastAsia" w:eastAsia="宋体"/>
                <w:lang w:val="en-US" w:eastAsia="zh-CN"/>
              </w:rPr>
            </w:pP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515" w:type="dxa"/>
            <w:tcBorders>
              <w:right w:val="single" w:color="auto" w:sz="12" w:space="0"/>
            </w:tcBorders>
          </w:tcPr>
          <w:p>
            <w:pPr>
              <w:pStyle w:val="30"/>
            </w:pPr>
            <w:r>
              <w:t>No</w:t>
            </w:r>
          </w:p>
        </w:tc>
        <w:tc>
          <w:tcPr>
            <w:tcW w:w="1275" w:type="dxa"/>
            <w:tcBorders>
              <w:left w:val="nil"/>
            </w:tcBorders>
          </w:tcPr>
          <w:p>
            <w:pPr>
              <w:pStyle w:val="31"/>
            </w:pPr>
          </w:p>
        </w:tc>
        <w:tc>
          <w:tcPr>
            <w:tcW w:w="1037" w:type="dxa"/>
          </w:tcPr>
          <w:p>
            <w:pPr>
              <w:pStyle w:val="31"/>
            </w:pPr>
          </w:p>
        </w:tc>
        <w:tc>
          <w:tcPr>
            <w:tcW w:w="850" w:type="dxa"/>
          </w:tcPr>
          <w:p>
            <w:pPr>
              <w:pStyle w:val="31"/>
            </w:pPr>
            <w:r>
              <w:rPr>
                <w:rFonts w:hint="eastAsia" w:eastAsia="宋体"/>
                <w:lang w:val="en-US" w:eastAsia="zh-CN"/>
              </w:rP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rPr>
                <w:rFonts w:hint="eastAsia" w:eastAsia="宋体"/>
                <w:lang w:val="en-US" w:eastAsia="zh-CN"/>
              </w:rPr>
            </w:pPr>
            <w:r>
              <w:rPr>
                <w:rFonts w:hint="eastAsia" w:eastAsia="宋体"/>
                <w:lang w:val="en-US" w:eastAsia="zh-CN"/>
              </w:rPr>
              <w:t>X</w:t>
            </w:r>
          </w:p>
        </w:tc>
        <w:tc>
          <w:tcPr>
            <w:tcW w:w="1037" w:type="dxa"/>
          </w:tcPr>
          <w:p>
            <w:pPr>
              <w:pStyle w:val="31"/>
            </w:pPr>
            <w:r>
              <w:rPr>
                <w:rFonts w:hint="eastAsia" w:eastAsia="宋体"/>
                <w:lang w:val="en-US" w:eastAsia="zh-CN"/>
              </w:rPr>
              <w:t>X</w:t>
            </w:r>
          </w:p>
        </w:tc>
        <w:tc>
          <w:tcPr>
            <w:tcW w:w="850" w:type="dxa"/>
          </w:tcPr>
          <w:p>
            <w:pPr>
              <w:pStyle w:val="31"/>
              <w:rPr>
                <w:rFonts w:hint="eastAsia" w:eastAsia="宋体"/>
                <w:lang w:val="en-US" w:eastAsia="zh-CN"/>
              </w:rPr>
            </w:pPr>
          </w:p>
        </w:tc>
        <w:tc>
          <w:tcPr>
            <w:tcW w:w="851" w:type="dxa"/>
          </w:tcPr>
          <w:p>
            <w:pPr>
              <w:pStyle w:val="31"/>
            </w:pPr>
          </w:p>
        </w:tc>
        <w:tc>
          <w:tcPr>
            <w:tcW w:w="1752" w:type="dxa"/>
          </w:tcPr>
          <w:p>
            <w:pPr>
              <w:pStyle w:val="31"/>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7"/>
      </w:pPr>
      <w:r>
        <w:t>.</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rFonts w:hint="default" w:eastAsia="宋体"/>
                <w:lang w:val="en-US" w:eastAsia="zh-CN"/>
              </w:rPr>
            </w:pPr>
            <w:r>
              <w:rPr>
                <w:rFonts w:hint="eastAsia" w:eastAsia="宋体"/>
                <w:lang w:val="en-US" w:eastAsia="zh-CN"/>
              </w:rPr>
              <w:t>FS_EDGE_Ph3</w:t>
            </w:r>
          </w:p>
        </w:tc>
        <w:tc>
          <w:tcPr>
            <w:tcW w:w="1101" w:type="dxa"/>
          </w:tcPr>
          <w:p>
            <w:pPr>
              <w:pStyle w:val="29"/>
            </w:pPr>
            <w:r>
              <w:t>SA3</w:t>
            </w:r>
          </w:p>
        </w:tc>
        <w:tc>
          <w:tcPr>
            <w:tcW w:w="1101" w:type="dxa"/>
          </w:tcPr>
          <w:p>
            <w:pPr>
              <w:pStyle w:val="29"/>
              <w:rPr>
                <w:rFonts w:hint="eastAsia" w:eastAsia="宋体"/>
                <w:lang w:val="en-US" w:eastAsia="zh-CN"/>
              </w:rPr>
            </w:pPr>
            <w:r>
              <w:rPr>
                <w:rFonts w:hint="eastAsia"/>
              </w:rPr>
              <w:t>10</w:t>
            </w:r>
            <w:r>
              <w:rPr>
                <w:rFonts w:hint="eastAsia" w:eastAsia="宋体"/>
                <w:lang w:val="en-US" w:eastAsia="zh-CN"/>
              </w:rPr>
              <w:t>3</w:t>
            </w:r>
            <w:r>
              <w:rPr>
                <w:rFonts w:hint="eastAsia"/>
              </w:rPr>
              <w:t>003</w:t>
            </w:r>
            <w:r>
              <w:rPr>
                <w:rFonts w:hint="eastAsia" w:eastAsia="宋体"/>
                <w:lang w:val="en-US" w:eastAsia="zh-CN"/>
              </w:rPr>
              <w:t>6</w:t>
            </w:r>
          </w:p>
        </w:tc>
        <w:tc>
          <w:tcPr>
            <w:tcW w:w="6010" w:type="dxa"/>
          </w:tcPr>
          <w:p>
            <w:pPr>
              <w:pStyle w:val="29"/>
            </w:pPr>
            <w:r>
              <w:rPr>
                <w:rFonts w:hint="eastAsia"/>
              </w:rPr>
              <w:t>Study on Security Aspects of Enhancement of Support for Edge Computing in 5GC — phase 3</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rFonts w:hint="default" w:eastAsia="宋体"/>
                <w:lang w:val="en-US" w:eastAsia="zh-CN"/>
              </w:rPr>
            </w:pPr>
            <w:r>
              <w:rPr>
                <w:rFonts w:hint="eastAsia" w:eastAsia="宋体"/>
                <w:lang w:val="en-US" w:eastAsia="zh-CN"/>
              </w:rPr>
              <w:t>1040036</w:t>
            </w:r>
          </w:p>
        </w:tc>
        <w:tc>
          <w:tcPr>
            <w:tcW w:w="3326" w:type="dxa"/>
          </w:tcPr>
          <w:p>
            <w:pPr>
              <w:pStyle w:val="29"/>
              <w:rPr>
                <w:rFonts w:hint="eastAsia"/>
              </w:rPr>
            </w:pPr>
            <w:r>
              <w:rPr>
                <w:rFonts w:hint="eastAsia"/>
              </w:rPr>
              <w:t>Enhancement of support for Edge Computing in 5G Core network - Phase 3</w:t>
            </w:r>
          </w:p>
          <w:p>
            <w:pPr>
              <w:pStyle w:val="29"/>
            </w:pPr>
            <w:r>
              <w:rPr>
                <w:rFonts w:hint="eastAsia" w:eastAsia="宋体"/>
                <w:lang w:val="en-US" w:eastAsia="zh-CN"/>
              </w:rPr>
              <w:t>(</w:t>
            </w:r>
            <w:r>
              <w:t>eEDGE_5GC_Ph3</w:t>
            </w:r>
            <w:r>
              <w:rPr>
                <w:rFonts w:hint="eastAsia" w:eastAsia="宋体"/>
                <w:lang w:val="en-US" w:eastAsia="zh-CN"/>
              </w:rPr>
              <w:t>)</w:t>
            </w:r>
            <w:r>
              <w:rPr>
                <w:rFonts w:hint="eastAsia"/>
              </w:rPr>
              <w:t xml:space="preserve"> </w:t>
            </w:r>
          </w:p>
        </w:tc>
        <w:tc>
          <w:tcPr>
            <w:tcW w:w="5099" w:type="dxa"/>
          </w:tcPr>
          <w:p>
            <w:pPr>
              <w:pStyle w:val="27"/>
              <w:rPr>
                <w:rFonts w:hint="default" w:eastAsia="宋体"/>
                <w:i w:val="0"/>
                <w:iCs/>
                <w:highlight w:val="none"/>
                <w:lang w:val="en-US" w:eastAsia="zh-CN"/>
              </w:rPr>
            </w:pPr>
            <w:r>
              <w:rPr>
                <w:rFonts w:hint="eastAsia" w:ascii="Arial" w:hAnsi="Arial" w:cs="Arial"/>
                <w:i w:val="0"/>
                <w:iCs/>
                <w:sz w:val="18"/>
                <w:highlight w:val="none"/>
                <w:lang w:val="en-US" w:eastAsia="zh-CN"/>
              </w:rPr>
              <w:t>Rel-19 WID for  Edge Computing Phase 3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9"/>
              <w:rPr>
                <w:rFonts w:hint="eastAsia" w:ascii="Arial" w:hAnsi="Arial" w:eastAsia="宋体" w:cs="Times New Roman"/>
                <w:color w:val="000000"/>
                <w:sz w:val="18"/>
                <w:lang w:val="en-US" w:eastAsia="zh-CN" w:bidi="ar-SA"/>
              </w:rPr>
            </w:pPr>
            <w:r>
              <w:rPr>
                <w:rFonts w:hint="eastAsia" w:eastAsia="宋体"/>
                <w:lang w:val="en-US" w:eastAsia="zh-CN"/>
              </w:rPr>
              <w:t>1010007</w:t>
            </w:r>
          </w:p>
        </w:tc>
        <w:tc>
          <w:tcPr>
            <w:tcW w:w="3326" w:type="dxa"/>
            <w:vAlign w:val="top"/>
          </w:tcPr>
          <w:p>
            <w:pPr>
              <w:pStyle w:val="29"/>
              <w:rPr>
                <w:rFonts w:hint="eastAsia" w:ascii="Arial" w:hAnsi="Arial" w:eastAsia="Times New Roman" w:cs="Times New Roman"/>
                <w:color w:val="000000"/>
                <w:sz w:val="18"/>
                <w:lang w:val="en-US" w:eastAsia="zh-CN" w:bidi="ar-SA"/>
              </w:rPr>
            </w:pPr>
            <w:r>
              <w:rPr>
                <w:rFonts w:hint="eastAsia" w:eastAsia="宋体"/>
                <w:lang w:val="en-US" w:eastAsia="zh-CN"/>
              </w:rPr>
              <w:t>A</w:t>
            </w:r>
            <w:r>
              <w:t>rchitecture for enabling Edge Applications Phase 3 (EDGEAPP_Ph3)</w:t>
            </w:r>
          </w:p>
        </w:tc>
        <w:tc>
          <w:tcPr>
            <w:tcW w:w="5099" w:type="dxa"/>
            <w:vAlign w:val="top"/>
          </w:tcPr>
          <w:p>
            <w:pPr>
              <w:pStyle w:val="27"/>
              <w:rPr>
                <w:rFonts w:hint="eastAsia" w:ascii="Arial" w:hAnsi="Arial" w:eastAsia="宋体" w:cs="Arial"/>
                <w:i w:val="0"/>
                <w:iCs/>
                <w:color w:val="000000"/>
                <w:sz w:val="18"/>
                <w:highlight w:val="none"/>
                <w:lang w:val="en-US" w:eastAsia="zh-CN" w:bidi="ar-SA"/>
              </w:rPr>
            </w:pPr>
            <w:r>
              <w:rPr>
                <w:rFonts w:ascii="Arial" w:hAnsi="Arial" w:cs="Arial"/>
                <w:i w:val="0"/>
                <w:iCs/>
                <w:sz w:val="18"/>
                <w:highlight w:val="none"/>
              </w:rPr>
              <w:t xml:space="preserve">Rel-19 </w:t>
            </w:r>
            <w:r>
              <w:rPr>
                <w:rFonts w:hint="eastAsia" w:ascii="Arial" w:hAnsi="Arial" w:eastAsia="宋体" w:cs="Arial"/>
                <w:i w:val="0"/>
                <w:iCs/>
                <w:sz w:val="18"/>
                <w:highlight w:val="none"/>
                <w:lang w:val="en-US" w:eastAsia="zh-CN"/>
              </w:rPr>
              <w:t>WID</w:t>
            </w:r>
            <w:r>
              <w:rPr>
                <w:rFonts w:ascii="Arial" w:hAnsi="Arial" w:cs="Arial"/>
                <w:i w:val="0"/>
                <w:iCs/>
                <w:sz w:val="18"/>
                <w:highlight w:val="none"/>
              </w:rPr>
              <w:t xml:space="preserve"> for enabling E</w:t>
            </w:r>
            <w:r>
              <w:rPr>
                <w:rFonts w:hint="eastAsia" w:ascii="Arial" w:hAnsi="Arial" w:eastAsia="宋体" w:cs="Arial"/>
                <w:i w:val="0"/>
                <w:iCs/>
                <w:sz w:val="18"/>
                <w:highlight w:val="none"/>
                <w:lang w:val="en-US" w:eastAsia="zh-CN"/>
              </w:rPr>
              <w:t>dge</w:t>
            </w:r>
            <w:r>
              <w:rPr>
                <w:rFonts w:ascii="Arial" w:hAnsi="Arial" w:cs="Arial"/>
                <w:i w:val="0"/>
                <w:iCs/>
                <w:sz w:val="18"/>
                <w:highlight w:val="none"/>
              </w:rPr>
              <w:t xml:space="preserve"> Applications</w:t>
            </w:r>
            <w:r>
              <w:rPr>
                <w:rFonts w:hint="eastAsia" w:ascii="Arial" w:hAnsi="Arial" w:eastAsia="宋体" w:cs="Arial"/>
                <w:i w:val="0"/>
                <w:iCs/>
                <w:sz w:val="18"/>
                <w:highlight w:val="none"/>
                <w:lang w:val="en-US" w:eastAsia="zh-CN"/>
              </w:rPr>
              <w:t xml:space="preserve"> (SA6)</w:t>
            </w:r>
          </w:p>
        </w:tc>
      </w:tr>
    </w:tbl>
    <w:p>
      <w:pPr>
        <w:pStyle w:val="32"/>
      </w:pPr>
    </w:p>
    <w:p>
      <w:pPr>
        <w:rPr>
          <w:b/>
          <w:bCs/>
        </w:rPr>
      </w:pPr>
      <w:r>
        <w:rPr>
          <w:b/>
          <w:bCs/>
        </w:rPr>
        <w:t>Dependency on non-3GPP (draft) specification:</w:t>
      </w:r>
    </w:p>
    <w:p>
      <w:pPr>
        <w:pStyle w:val="27"/>
        <w:rPr>
          <w:rFonts w:hint="default" w:eastAsia="宋体"/>
          <w:i w:val="0"/>
          <w:iCs/>
          <w:lang w:val="en-US" w:eastAsia="zh-CN"/>
        </w:rPr>
      </w:pPr>
      <w:r>
        <w:rPr>
          <w:rFonts w:hint="eastAsia" w:eastAsia="宋体"/>
          <w:i w:val="0"/>
          <w:iCs/>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cs="Times New Roman"/>
          <w:highlight w:val="none"/>
          <w:lang w:val="en-US" w:eastAsia="zh-CN"/>
        </w:rPr>
      </w:pPr>
      <w:r>
        <w:rPr>
          <w:rFonts w:hint="eastAsia" w:eastAsia="宋体" w:cs="Times New Roman"/>
          <w:highlight w:val="none"/>
          <w:lang w:val="en-US" w:eastAsia="zh-CN"/>
        </w:rPr>
        <w:t>SA2 has finalized the study item and started the normative work on Enhancement of support for Edge Computing in 5G Core network - Phase 3 (eEDGE_5GC_Ph3). In SA3</w:t>
      </w:r>
      <w:r>
        <w:rPr>
          <w:rFonts w:hint="default" w:eastAsia="宋体" w:cs="Times New Roman"/>
          <w:highlight w:val="none"/>
          <w:lang w:val="en-US" w:eastAsia="zh-CN"/>
        </w:rPr>
        <w:t>’</w:t>
      </w:r>
      <w:r>
        <w:rPr>
          <w:rFonts w:hint="eastAsia" w:eastAsia="宋体" w:cs="Times New Roman"/>
          <w:highlight w:val="none"/>
          <w:lang w:val="en-US" w:eastAsia="zh-CN"/>
        </w:rPr>
        <w:t xml:space="preserve">s FS_EDGE_Ph3 study item, the key issue on security aspects related to enhancements of EAS and local UPF (re)selection is concluded. Potential security guidelines are needed to be specified in order to support the work taken by SA2. </w:t>
      </w:r>
    </w:p>
    <w:p>
      <w:pPr>
        <w:rPr>
          <w:rFonts w:hint="eastAsia" w:eastAsia="宋体" w:cs="Times New Roman"/>
          <w:lang w:val="en-US" w:eastAsia="zh-CN"/>
        </w:rPr>
      </w:pPr>
      <w:r>
        <w:rPr>
          <w:rFonts w:hint="eastAsia" w:eastAsia="宋体" w:cs="Times New Roman"/>
          <w:highlight w:val="none"/>
          <w:lang w:val="en-US" w:eastAsia="zh-CN"/>
        </w:rPr>
        <w:t xml:space="preserve">SA6 is about to finalize the normative work on enabling Edge Applications Phase 3 </w:t>
      </w:r>
      <w:r>
        <w:t>(EDGEAPP_Ph3)</w:t>
      </w:r>
      <w:r>
        <w:rPr>
          <w:rFonts w:hint="eastAsia" w:eastAsia="宋体" w:cs="Times New Roman"/>
          <w:highlight w:val="none"/>
          <w:lang w:val="en-US" w:eastAsia="zh-CN"/>
        </w:rPr>
        <w:t>. SA3</w:t>
      </w:r>
      <w:r>
        <w:rPr>
          <w:rFonts w:hint="default" w:eastAsia="宋体" w:cs="Times New Roman"/>
          <w:highlight w:val="none"/>
          <w:lang w:val="en-US" w:eastAsia="zh-CN"/>
        </w:rPr>
        <w:t>’</w:t>
      </w:r>
      <w:r>
        <w:rPr>
          <w:rFonts w:hint="eastAsia" w:eastAsia="宋体" w:cs="Times New Roman"/>
          <w:highlight w:val="none"/>
          <w:lang w:val="en-US" w:eastAsia="zh-CN"/>
        </w:rPr>
        <w:t>s FS_EDGE_Ph3 study item has progressed with a key issue on secure retrieval of 5G system Ids and privacy related information based on SA6 architecture, which is now concluded.</w:t>
      </w:r>
      <w:r>
        <w:rPr>
          <w:rFonts w:hint="eastAsia" w:eastAsia="宋体" w:cs="Times New Roman"/>
          <w:lang w:val="en-US" w:eastAsia="zh-CN"/>
        </w:rPr>
        <w:t xml:space="preserve"> </w:t>
      </w:r>
    </w:p>
    <w:p>
      <w:pPr>
        <w:rPr>
          <w:rFonts w:hint="default" w:ascii="Times New Roman" w:hAnsi="Times New Roman" w:cs="Times New Roman"/>
          <w:lang w:val="en-US"/>
        </w:rPr>
      </w:pPr>
      <w:r>
        <w:rPr>
          <w:rFonts w:hint="eastAsia" w:eastAsia="宋体" w:cs="Times New Roman"/>
          <w:lang w:val="en-US" w:eastAsia="zh-CN"/>
        </w:rPr>
        <w:t>Therefore, it is proposed to start the normative work via this WID.</w:t>
      </w:r>
    </w:p>
    <w:p>
      <w:pPr>
        <w:rPr>
          <w:rFonts w:hint="default" w:eastAsia="宋体" w:cs="Times New Roman"/>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5"/>
        <w:spacing w:after="0"/>
        <w:rPr>
          <w:rFonts w:hint="eastAsia" w:ascii="Times New Roman" w:hAnsi="Times New Roman" w:eastAsia="宋体" w:cs="Times New Roman"/>
          <w:lang w:val="en-US" w:eastAsia="zh-CN"/>
        </w:rPr>
      </w:pPr>
      <w:r>
        <w:rPr>
          <w:rFonts w:hint="default" w:ascii="Times New Roman" w:hAnsi="Times New Roman" w:cs="Times New Roman"/>
        </w:rPr>
        <w:t>The objective of the work item is</w:t>
      </w:r>
      <w:r>
        <w:rPr>
          <w:rFonts w:hint="eastAsia" w:ascii="Times New Roman" w:hAnsi="Times New Roman" w:eastAsia="宋体" w:cs="Times New Roman"/>
          <w:lang w:val="en-US" w:eastAsia="zh-CN"/>
        </w:rPr>
        <w:t xml:space="preserve"> to specify the security aspects of enabling Edge Computing in 5GC concluded in TR 33.749. The security aspects to be specified include following:</w:t>
      </w:r>
    </w:p>
    <w:p>
      <w:pPr>
        <w:pStyle w:val="25"/>
        <w:spacing w:after="0"/>
        <w:ind w:firstLine="40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Security aspects related to enhancements of EAS and local UPF (re)selection.</w:t>
      </w:r>
    </w:p>
    <w:p>
      <w:pPr>
        <w:pStyle w:val="25"/>
        <w:spacing w:after="0"/>
        <w:ind w:firstLine="40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Secure retrieval of 5G system Ids and privacy related information.</w:t>
      </w:r>
    </w:p>
    <w:p>
      <w:pPr>
        <w:pStyle w:val="25"/>
        <w:spacing w:after="0"/>
        <w:ind w:firstLine="400" w:firstLineChars="200"/>
        <w:rPr>
          <w:rFonts w:hint="eastAsia" w:ascii="Times New Roman" w:hAnsi="Times New Roman" w:eastAsia="宋体" w:cs="Times New Roman"/>
          <w:lang w:val="en-US" w:eastAsia="zh-CN"/>
        </w:rPr>
      </w:pPr>
    </w:p>
    <w:p>
      <w:pPr>
        <w:pStyle w:val="25"/>
        <w:spacing w:after="0"/>
        <w:ind w:firstLine="400" w:firstLineChars="200"/>
        <w:rPr>
          <w:rFonts w:hint="default" w:ascii="Times New Roman" w:hAnsi="Times New Roman" w:eastAsia="宋体" w:cs="Times New Roman"/>
          <w:lang w:val="en-US" w:eastAsia="zh-CN"/>
        </w:rPr>
      </w:pPr>
    </w:p>
    <w:p>
      <w:pPr>
        <w:pStyle w:val="25"/>
        <w:spacing w:after="0"/>
      </w:pPr>
    </w:p>
    <w:p>
      <w:pPr>
        <w:spacing w:after="180"/>
        <w:ind w:left="1125" w:hanging="1125"/>
        <w:textAlignment w:val="baseline"/>
        <w:rPr>
          <w:rFonts w:ascii="Segoe UI" w:hAnsi="Segoe UI" w:cs="Segoe UI"/>
          <w:sz w:val="18"/>
          <w:szCs w:val="18"/>
          <w:lang w:eastAsia="en-GB"/>
        </w:rPr>
      </w:pPr>
      <w:r>
        <w:rPr>
          <w:rFonts w:ascii="Arial" w:hAnsi="Arial" w:cs="Arial"/>
          <w:color w:val="000000"/>
          <w:sz w:val="32"/>
          <w:szCs w:val="32"/>
          <w:lang w:eastAsia="en-GB"/>
        </w:rPr>
        <w:t>TU estimates and dependencies </w:t>
      </w:r>
      <w:r>
        <w:rPr>
          <w:lang w:eastAsia="en-GB"/>
        </w:rPr>
        <w:t> </w:t>
      </w:r>
    </w:p>
    <w:tbl>
      <w:tblPr>
        <w:tblStyle w:val="16"/>
        <w:tblW w:w="6600" w:type="dxa"/>
        <w:tblInd w:w="-12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605"/>
        <w:gridCol w:w="1605"/>
        <w:gridCol w:w="33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1605" w:type="dxa"/>
            <w:tcBorders>
              <w:top w:val="single" w:color="000000" w:sz="6" w:space="0"/>
              <w:left w:val="single" w:color="000000" w:sz="6" w:space="0"/>
              <w:bottom w:val="single" w:color="000000" w:sz="6" w:space="0"/>
              <w:right w:val="single" w:color="000000" w:sz="6" w:space="0"/>
            </w:tcBorders>
            <w:shd w:val="clear" w:color="auto" w:fill="auto"/>
          </w:tcPr>
          <w:p>
            <w:pPr>
              <w:spacing w:after="180"/>
              <w:jc w:val="both"/>
              <w:textAlignment w:val="baseline"/>
              <w:rPr>
                <w:sz w:val="24"/>
                <w:szCs w:val="24"/>
                <w:lang w:eastAsia="en-GB"/>
              </w:rPr>
            </w:pPr>
            <w:r>
              <w:rPr>
                <w:lang w:eastAsia="en-GB"/>
              </w:rPr>
              <w:t>TU Estimate </w:t>
            </w:r>
          </w:p>
          <w:p>
            <w:pPr>
              <w:spacing w:after="180"/>
              <w:jc w:val="both"/>
              <w:textAlignment w:val="baseline"/>
              <w:rPr>
                <w:sz w:val="24"/>
                <w:szCs w:val="24"/>
                <w:lang w:eastAsia="en-GB"/>
              </w:rPr>
            </w:pPr>
            <w:r>
              <w:rPr>
                <w:lang w:eastAsia="en-GB"/>
              </w:rPr>
              <w:t>(Normative) </w:t>
            </w:r>
          </w:p>
        </w:tc>
        <w:tc>
          <w:tcPr>
            <w:tcW w:w="1605" w:type="dxa"/>
            <w:tcBorders>
              <w:top w:val="single" w:color="000000" w:sz="6" w:space="0"/>
              <w:left w:val="single" w:color="000000" w:sz="6" w:space="0"/>
              <w:bottom w:val="single" w:color="000000" w:sz="6" w:space="0"/>
              <w:right w:val="single" w:color="000000" w:sz="6" w:space="0"/>
            </w:tcBorders>
            <w:shd w:val="clear" w:color="auto" w:fill="auto"/>
          </w:tcPr>
          <w:p>
            <w:pPr>
              <w:spacing w:after="180"/>
              <w:jc w:val="both"/>
              <w:textAlignment w:val="baseline"/>
              <w:rPr>
                <w:sz w:val="24"/>
                <w:szCs w:val="24"/>
                <w:highlight w:val="none"/>
                <w:lang w:eastAsia="en-GB"/>
              </w:rPr>
            </w:pPr>
            <w:r>
              <w:rPr>
                <w:highlight w:val="none"/>
                <w:lang w:eastAsia="en-GB"/>
              </w:rPr>
              <w:t>RAN Dependency </w:t>
            </w:r>
          </w:p>
          <w:p>
            <w:pPr>
              <w:spacing w:after="180"/>
              <w:jc w:val="both"/>
              <w:textAlignment w:val="baseline"/>
              <w:rPr>
                <w:sz w:val="24"/>
                <w:szCs w:val="24"/>
                <w:highlight w:val="none"/>
                <w:lang w:eastAsia="en-GB"/>
              </w:rPr>
            </w:pPr>
            <w:r>
              <w:rPr>
                <w:highlight w:val="none"/>
                <w:lang w:eastAsia="en-GB"/>
              </w:rPr>
              <w:t>(Yes/No/Maybe)  </w:t>
            </w:r>
          </w:p>
        </w:tc>
        <w:tc>
          <w:tcPr>
            <w:tcW w:w="3390" w:type="dxa"/>
            <w:tcBorders>
              <w:top w:val="single" w:color="000000" w:sz="6" w:space="0"/>
              <w:left w:val="single" w:color="000000" w:sz="6" w:space="0"/>
              <w:bottom w:val="single" w:color="000000" w:sz="6" w:space="0"/>
              <w:right w:val="single" w:color="000000" w:sz="6" w:space="0"/>
            </w:tcBorders>
            <w:shd w:val="clear" w:color="auto" w:fill="auto"/>
          </w:tcPr>
          <w:p>
            <w:pPr>
              <w:spacing w:after="180"/>
              <w:jc w:val="both"/>
              <w:textAlignment w:val="baseline"/>
              <w:rPr>
                <w:sz w:val="24"/>
                <w:szCs w:val="24"/>
                <w:highlight w:val="none"/>
                <w:lang w:eastAsia="en-GB"/>
              </w:rPr>
            </w:pPr>
            <w:r>
              <w:rPr>
                <w:highlight w:val="none"/>
                <w:lang w:eastAsia="en-GB"/>
              </w:rPr>
              <w:t>Inter Work Tasks Dependency  </w:t>
            </w:r>
          </w:p>
          <w:p>
            <w:pPr>
              <w:spacing w:after="180"/>
              <w:jc w:val="both"/>
              <w:textAlignment w:val="baseline"/>
              <w:rPr>
                <w:sz w:val="24"/>
                <w:szCs w:val="24"/>
                <w:highlight w:val="none"/>
                <w:lang w:eastAsia="en-GB"/>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1605" w:type="dxa"/>
            <w:tcBorders>
              <w:top w:val="single" w:color="000000" w:sz="6" w:space="0"/>
              <w:left w:val="single" w:color="000000" w:sz="6" w:space="0"/>
              <w:bottom w:val="single" w:color="000000" w:sz="6" w:space="0"/>
              <w:right w:val="single" w:color="000000" w:sz="6" w:space="0"/>
            </w:tcBorders>
            <w:shd w:val="clear" w:color="auto" w:fill="auto"/>
          </w:tcPr>
          <w:p>
            <w:pPr>
              <w:spacing w:after="180"/>
              <w:textAlignment w:val="baseline"/>
              <w:rPr>
                <w:szCs w:val="24"/>
                <w:lang w:eastAsia="en-GB"/>
              </w:rPr>
            </w:pPr>
            <w:r>
              <w:rPr>
                <w:rFonts w:hint="eastAsia" w:eastAsia="宋体"/>
                <w:szCs w:val="24"/>
                <w:lang w:val="en-US" w:eastAsia="zh-CN"/>
              </w:rPr>
              <w:t>1</w:t>
            </w:r>
            <w:r>
              <w:rPr>
                <w:szCs w:val="24"/>
                <w:lang w:eastAsia="en-GB"/>
              </w:rPr>
              <w:t xml:space="preserve"> TU</w:t>
            </w:r>
          </w:p>
        </w:tc>
        <w:tc>
          <w:tcPr>
            <w:tcW w:w="1605" w:type="dxa"/>
            <w:tcBorders>
              <w:top w:val="single" w:color="000000" w:sz="6" w:space="0"/>
              <w:left w:val="single" w:color="000000" w:sz="6" w:space="0"/>
              <w:bottom w:val="single" w:color="000000" w:sz="6" w:space="0"/>
              <w:right w:val="single" w:color="000000" w:sz="6" w:space="0"/>
            </w:tcBorders>
            <w:shd w:val="clear" w:color="auto" w:fill="auto"/>
          </w:tcPr>
          <w:p>
            <w:pPr>
              <w:spacing w:after="180"/>
              <w:textAlignment w:val="baseline"/>
              <w:rPr>
                <w:szCs w:val="24"/>
                <w:lang w:eastAsia="en-GB"/>
              </w:rPr>
            </w:pPr>
            <w:r>
              <w:rPr>
                <w:szCs w:val="24"/>
                <w:lang w:eastAsia="en-GB"/>
              </w:rPr>
              <w:t>No</w:t>
            </w:r>
          </w:p>
        </w:tc>
        <w:tc>
          <w:tcPr>
            <w:tcW w:w="3390" w:type="dxa"/>
            <w:tcBorders>
              <w:top w:val="single" w:color="000000" w:sz="6" w:space="0"/>
              <w:left w:val="single" w:color="000000" w:sz="6" w:space="0"/>
              <w:bottom w:val="single" w:color="000000" w:sz="6" w:space="0"/>
              <w:right w:val="single" w:color="000000" w:sz="6" w:space="0"/>
            </w:tcBorders>
            <w:shd w:val="clear" w:color="auto" w:fill="auto"/>
          </w:tcPr>
          <w:p>
            <w:pPr>
              <w:spacing w:after="180"/>
              <w:textAlignment w:val="baseline"/>
              <w:rPr>
                <w:szCs w:val="24"/>
                <w:lang w:eastAsia="en-GB"/>
              </w:rPr>
            </w:pPr>
            <w:r>
              <w:rPr>
                <w:szCs w:val="24"/>
                <w:lang w:eastAsia="en-GB"/>
              </w:rPr>
              <w:t>No</w:t>
            </w:r>
          </w:p>
        </w:tc>
      </w:tr>
    </w:tbl>
    <w:p>
      <w:pPr>
        <w:pStyle w:val="3"/>
        <w:rPr>
          <w:rFonts w:ascii="Times New Roman" w:hAnsi="Times New Roman"/>
          <w:sz w:val="20"/>
        </w:rPr>
      </w:pPr>
      <w:r>
        <w:rPr>
          <w:rFonts w:ascii="Times New Roman" w:hAnsi="Times New Roman"/>
          <w:sz w:val="20"/>
        </w:rPr>
        <w:t>TU estimates and dependencies</w:t>
      </w:r>
    </w:p>
    <w:p>
      <w:pPr>
        <w:rPr>
          <w:rFonts w:hint="eastAsia" w:eastAsia="宋体"/>
          <w:lang w:val="en-US" w:eastAsia="zh-CN"/>
        </w:rPr>
      </w:pPr>
      <w:r>
        <w:rPr>
          <w:lang w:val="en-US"/>
        </w:rPr>
        <w:t xml:space="preserve">Total TU estimates: </w:t>
      </w:r>
      <w:r>
        <w:rPr>
          <w:rFonts w:hint="eastAsia" w:eastAsia="宋体"/>
          <w:lang w:val="en-US" w:eastAsia="zh-CN"/>
        </w:rPr>
        <w:t>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spacing w:after="0"/>
            </w:pPr>
          </w:p>
        </w:tc>
        <w:tc>
          <w:tcPr>
            <w:tcW w:w="1134" w:type="dxa"/>
          </w:tcPr>
          <w:p>
            <w:pPr>
              <w:pStyle w:val="27"/>
              <w:spacing w:after="0"/>
            </w:pPr>
          </w:p>
        </w:tc>
        <w:tc>
          <w:tcPr>
            <w:tcW w:w="2409" w:type="dxa"/>
          </w:tcPr>
          <w:p>
            <w:pPr>
              <w:pStyle w:val="27"/>
              <w:spacing w:after="0"/>
            </w:pPr>
          </w:p>
        </w:tc>
        <w:tc>
          <w:tcPr>
            <w:tcW w:w="993" w:type="dxa"/>
          </w:tcPr>
          <w:p>
            <w:pPr>
              <w:pStyle w:val="27"/>
              <w:spacing w:after="0"/>
            </w:pPr>
          </w:p>
        </w:tc>
        <w:tc>
          <w:tcPr>
            <w:tcW w:w="1074" w:type="dxa"/>
          </w:tcPr>
          <w:p>
            <w:pPr>
              <w:pStyle w:val="27"/>
              <w:spacing w:after="0"/>
            </w:pPr>
          </w:p>
        </w:tc>
        <w:tc>
          <w:tcPr>
            <w:tcW w:w="2186" w:type="dxa"/>
          </w:tcPr>
          <w:p>
            <w:pPr>
              <w:pStyle w:val="27"/>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pPr>
        <w:pStyle w:val="27"/>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9"/>
              <w:rPr>
                <w:rFonts w:hint="default"/>
                <w:lang w:val="en-US" w:eastAsia="zh-CN"/>
              </w:rPr>
            </w:pPr>
            <w:r>
              <w:rPr>
                <w:lang w:eastAsia="zh-CN"/>
              </w:rPr>
              <w:t>TS 33.501</w:t>
            </w:r>
          </w:p>
        </w:tc>
        <w:tc>
          <w:tcPr>
            <w:tcW w:w="4344" w:type="dxa"/>
            <w:tcBorders>
              <w:top w:val="single" w:color="auto" w:sz="4" w:space="0"/>
              <w:left w:val="single" w:color="auto" w:sz="4" w:space="0"/>
              <w:bottom w:val="single" w:color="auto" w:sz="4" w:space="0"/>
              <w:right w:val="single" w:color="auto" w:sz="4" w:space="0"/>
            </w:tcBorders>
            <w:vAlign w:val="top"/>
          </w:tcPr>
          <w:p>
            <w:pPr>
              <w:pStyle w:val="29"/>
            </w:pPr>
            <w:r>
              <w:t>Addition security feature for edge computing based on SA2 architecture in the Annex T.</w:t>
            </w:r>
          </w:p>
        </w:tc>
        <w:tc>
          <w:tcPr>
            <w:tcW w:w="1417" w:type="dxa"/>
            <w:tcBorders>
              <w:top w:val="single" w:color="auto" w:sz="4" w:space="0"/>
              <w:left w:val="single" w:color="auto" w:sz="4" w:space="0"/>
              <w:bottom w:val="single" w:color="auto" w:sz="4" w:space="0"/>
              <w:right w:val="single" w:color="auto" w:sz="4" w:space="0"/>
            </w:tcBorders>
          </w:tcPr>
          <w:p>
            <w:pPr>
              <w:pStyle w:val="29"/>
              <w:rPr>
                <w:rFonts w:hint="eastAsia"/>
                <w:lang w:val="en-GB" w:eastAsia="zh-CN"/>
              </w:rPr>
            </w:pPr>
            <w:r>
              <w:rPr>
                <w:lang w:val="en-GB"/>
              </w:rPr>
              <w:t>SA#10</w:t>
            </w:r>
            <w:r>
              <w:rPr>
                <w:rFonts w:hint="eastAsia"/>
                <w:lang w:val="en-US" w:eastAsia="zh-CN"/>
              </w:rPr>
              <w:t>8</w:t>
            </w:r>
          </w:p>
          <w:p>
            <w:pPr>
              <w:pStyle w:val="29"/>
              <w:rPr>
                <w:rFonts w:hint="eastAsia"/>
                <w:lang w:val="en-GB" w:eastAsia="zh-CN"/>
              </w:rPr>
            </w:pPr>
            <w:r>
              <w:rPr>
                <w:rFonts w:hint="eastAsia"/>
                <w:lang w:val="en-US" w:eastAsia="zh-CN"/>
              </w:rPr>
              <w:t>June</w:t>
            </w:r>
            <w:r>
              <w:rPr>
                <w:lang w:val="en-GB"/>
              </w:rPr>
              <w:t xml:space="preserve"> 202</w:t>
            </w:r>
            <w:r>
              <w:rPr>
                <w:rFonts w:hint="eastAsia"/>
                <w:lang w:val="en-US" w:eastAsia="zh-CN"/>
              </w:rPr>
              <w:t>5</w:t>
            </w:r>
          </w:p>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rFonts w:hint="default" w:ascii="Arial" w:hAnsi="Arial" w:eastAsia="Times New Roman" w:cs="Times New Roman"/>
                <w:i w:val="0"/>
                <w:color w:val="000000"/>
                <w:sz w:val="18"/>
                <w:lang w:val="en-US" w:eastAsia="zh-CN" w:bidi="ar-SA"/>
              </w:rPr>
            </w:pPr>
            <w:r>
              <w:rPr>
                <w:rFonts w:ascii="Arial" w:hAnsi="Arial" w:eastAsia="Times New Roman" w:cs="Times New Roman"/>
                <w:i w:val="0"/>
                <w:color w:val="000000"/>
                <w:sz w:val="18"/>
                <w:lang w:val="en-GB" w:eastAsia="ja-JP" w:bidi="ar-SA"/>
              </w:rPr>
              <w:t>TS 33.5</w:t>
            </w:r>
            <w:r>
              <w:rPr>
                <w:rFonts w:hint="eastAsia" w:ascii="Arial" w:hAnsi="Arial" w:eastAsia="Times New Roman" w:cs="Times New Roman"/>
                <w:i w:val="0"/>
                <w:color w:val="000000"/>
                <w:sz w:val="18"/>
                <w:lang w:val="en-US" w:eastAsia="zh-CN" w:bidi="ar-SA"/>
              </w:rPr>
              <w:t>58</w:t>
            </w:r>
          </w:p>
        </w:tc>
        <w:tc>
          <w:tcPr>
            <w:tcW w:w="4344" w:type="dxa"/>
            <w:tcBorders>
              <w:top w:val="single" w:color="auto" w:sz="4" w:space="0"/>
              <w:left w:val="single" w:color="auto" w:sz="4" w:space="0"/>
              <w:bottom w:val="single" w:color="auto" w:sz="4" w:space="0"/>
              <w:right w:val="single" w:color="auto" w:sz="4" w:space="0"/>
            </w:tcBorders>
          </w:tcPr>
          <w:p>
            <w:pPr>
              <w:pStyle w:val="27"/>
              <w:spacing w:after="0"/>
              <w:rPr>
                <w:rFonts w:ascii="Arial" w:hAnsi="Arial" w:eastAsia="Times New Roman" w:cs="Times New Roman"/>
                <w:i w:val="0"/>
                <w:color w:val="000000"/>
                <w:sz w:val="18"/>
                <w:lang w:val="en-GB" w:eastAsia="ja-JP" w:bidi="ar-SA"/>
              </w:rPr>
            </w:pPr>
            <w:r>
              <w:rPr>
                <w:rFonts w:hint="eastAsia" w:ascii="Arial" w:hAnsi="Arial" w:eastAsia="Times New Roman" w:cs="Times New Roman"/>
                <w:i w:val="0"/>
                <w:color w:val="000000"/>
                <w:sz w:val="18"/>
                <w:lang w:val="en-GB" w:eastAsia="en-US" w:bidi="ar-SA"/>
              </w:rPr>
              <w:t>Security aspects of enhancement of support for enabling edge applications</w:t>
            </w:r>
          </w:p>
        </w:tc>
        <w:tc>
          <w:tcPr>
            <w:tcW w:w="1417" w:type="dxa"/>
            <w:tcBorders>
              <w:top w:val="single" w:color="auto" w:sz="4" w:space="0"/>
              <w:left w:val="single" w:color="auto" w:sz="4" w:space="0"/>
              <w:bottom w:val="single" w:color="auto" w:sz="4" w:space="0"/>
              <w:right w:val="single" w:color="auto" w:sz="4" w:space="0"/>
            </w:tcBorders>
          </w:tcPr>
          <w:p>
            <w:pPr>
              <w:pStyle w:val="13"/>
              <w:spacing w:before="0" w:beforeAutospacing="0" w:after="0" w:afterAutospacing="0"/>
              <w:rPr>
                <w:rFonts w:hint="eastAsia" w:ascii="Arial" w:hAnsi="Arial" w:eastAsia="Times New Roman" w:cs="Times New Roman"/>
                <w:i w:val="0"/>
                <w:color w:val="000000"/>
                <w:sz w:val="18"/>
                <w:lang w:val="en-GB" w:eastAsia="zh-CN" w:bidi="ar-SA"/>
              </w:rPr>
            </w:pPr>
            <w:r>
              <w:rPr>
                <w:rFonts w:ascii="Arial" w:hAnsi="Arial" w:eastAsia="Times New Roman" w:cs="Times New Roman"/>
                <w:i w:val="0"/>
                <w:color w:val="000000"/>
                <w:sz w:val="18"/>
                <w:lang w:val="en-GB" w:eastAsia="ja-JP" w:bidi="ar-SA"/>
              </w:rPr>
              <w:t>SA#10</w:t>
            </w:r>
            <w:r>
              <w:rPr>
                <w:rFonts w:hint="eastAsia" w:ascii="Arial" w:hAnsi="Arial" w:eastAsia="Times New Roman" w:cs="Times New Roman"/>
                <w:i w:val="0"/>
                <w:color w:val="000000"/>
                <w:sz w:val="18"/>
                <w:lang w:val="en-US" w:eastAsia="zh-CN" w:bidi="ar-SA"/>
              </w:rPr>
              <w:t>8</w:t>
            </w:r>
          </w:p>
          <w:p>
            <w:pPr>
              <w:pStyle w:val="13"/>
              <w:spacing w:before="0" w:beforeAutospacing="0" w:after="0" w:afterAutospacing="0"/>
              <w:rPr>
                <w:rFonts w:hint="eastAsia" w:ascii="Arial" w:hAnsi="Arial" w:eastAsia="Times New Roman" w:cs="Times New Roman"/>
                <w:i w:val="0"/>
                <w:color w:val="000000"/>
                <w:sz w:val="18"/>
                <w:lang w:val="en-GB" w:eastAsia="zh-CN" w:bidi="ar-SA"/>
              </w:rPr>
            </w:pPr>
            <w:r>
              <w:rPr>
                <w:rFonts w:hint="eastAsia" w:ascii="Arial" w:hAnsi="Arial" w:eastAsia="Times New Roman" w:cs="Times New Roman"/>
                <w:i w:val="0"/>
                <w:color w:val="000000"/>
                <w:sz w:val="18"/>
                <w:lang w:val="en-US" w:eastAsia="zh-CN" w:bidi="ar-SA"/>
              </w:rPr>
              <w:t>June</w:t>
            </w:r>
            <w:r>
              <w:rPr>
                <w:rFonts w:ascii="Arial" w:hAnsi="Arial" w:eastAsia="Times New Roman" w:cs="Times New Roman"/>
                <w:i w:val="0"/>
                <w:color w:val="000000"/>
                <w:sz w:val="18"/>
                <w:lang w:val="en-GB" w:eastAsia="ja-JP" w:bidi="ar-SA"/>
              </w:rPr>
              <w:t xml:space="preserve"> 202</w:t>
            </w:r>
            <w:r>
              <w:rPr>
                <w:rFonts w:hint="eastAsia" w:ascii="Arial" w:hAnsi="Arial" w:eastAsia="Times New Roman" w:cs="Times New Roman"/>
                <w:i w:val="0"/>
                <w:color w:val="000000"/>
                <w:sz w:val="18"/>
                <w:lang w:val="en-US" w:eastAsia="zh-CN" w:bidi="ar-SA"/>
              </w:rPr>
              <w:t>5</w:t>
            </w:r>
          </w:p>
          <w:p>
            <w:pPr>
              <w:pStyle w:val="27"/>
              <w:spacing w:after="0"/>
              <w:rPr>
                <w:rFonts w:ascii="Arial" w:hAnsi="Arial" w:eastAsia="Times New Roman" w:cs="Times New Roman"/>
                <w:i w:val="0"/>
                <w:color w:val="000000"/>
                <w:sz w:val="18"/>
                <w:lang w:val="en-GB" w:eastAsia="ja-JP" w:bidi="ar-SA"/>
              </w:rPr>
            </w:pP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spacing w:after="0"/>
        <w:rPr>
          <w:rFonts w:ascii="Times New Roman" w:hAnsi="Times New Roman" w:eastAsia="Times New Roman" w:cs="Times New Roman"/>
        </w:rPr>
      </w:pPr>
      <w:r>
        <w:rPr>
          <w:rFonts w:hint="eastAsia" w:eastAsia="宋体" w:cs="Times New Roman"/>
          <w:lang w:val="en-US" w:eastAsia="zh-CN"/>
        </w:rP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spacing w:after="0"/>
        <w:rPr>
          <w:rFonts w:hint="eastAsia" w:ascii="Times New Roman" w:hAnsi="Times New Roman" w:eastAsia="Times New Roman" w:cs="Times New Roman"/>
        </w:rPr>
      </w:pPr>
      <w:r>
        <w:rPr>
          <w:rFonts w:hint="eastAsia" w:ascii="Times New Roman" w:hAnsi="Times New Roman" w:eastAsia="Times New Roman" w:cs="Times New Roman"/>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spacing w:after="180"/>
      </w:pPr>
      <w:r>
        <w:t>SA2 for system architecture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3FF"/>
    <w:rsid w:val="000726EB"/>
    <w:rsid w:val="00072A7C"/>
    <w:rsid w:val="000775E7"/>
    <w:rsid w:val="0007775C"/>
    <w:rsid w:val="000862EE"/>
    <w:rsid w:val="00094F23"/>
    <w:rsid w:val="000967F4"/>
    <w:rsid w:val="000A6432"/>
    <w:rsid w:val="000D6D78"/>
    <w:rsid w:val="000E0429"/>
    <w:rsid w:val="000E0437"/>
    <w:rsid w:val="000F6E51"/>
    <w:rsid w:val="00102A24"/>
    <w:rsid w:val="00113E3D"/>
    <w:rsid w:val="001244C2"/>
    <w:rsid w:val="0013259C"/>
    <w:rsid w:val="00135831"/>
    <w:rsid w:val="001376A6"/>
    <w:rsid w:val="001424CD"/>
    <w:rsid w:val="0014389B"/>
    <w:rsid w:val="0014413C"/>
    <w:rsid w:val="00150C36"/>
    <w:rsid w:val="00152ADF"/>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160"/>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1B84"/>
    <w:rsid w:val="002B2FE7"/>
    <w:rsid w:val="002B34EA"/>
    <w:rsid w:val="002B5361"/>
    <w:rsid w:val="002C1BA4"/>
    <w:rsid w:val="002C3DD8"/>
    <w:rsid w:val="002C47B8"/>
    <w:rsid w:val="002D54BE"/>
    <w:rsid w:val="002E397B"/>
    <w:rsid w:val="002E3AE2"/>
    <w:rsid w:val="002F4307"/>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6370"/>
    <w:rsid w:val="00477EBC"/>
    <w:rsid w:val="00482246"/>
    <w:rsid w:val="00484421"/>
    <w:rsid w:val="004864D6"/>
    <w:rsid w:val="00491391"/>
    <w:rsid w:val="004A01BD"/>
    <w:rsid w:val="004A0A73"/>
    <w:rsid w:val="004A180A"/>
    <w:rsid w:val="004A661C"/>
    <w:rsid w:val="004A7DBB"/>
    <w:rsid w:val="004C4C9B"/>
    <w:rsid w:val="004D2FA0"/>
    <w:rsid w:val="004D5EA8"/>
    <w:rsid w:val="004E1010"/>
    <w:rsid w:val="004E7381"/>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669F"/>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57061"/>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251B"/>
    <w:rsid w:val="00723919"/>
    <w:rsid w:val="007261D3"/>
    <w:rsid w:val="00733E86"/>
    <w:rsid w:val="00740A0A"/>
    <w:rsid w:val="0074596C"/>
    <w:rsid w:val="00750D12"/>
    <w:rsid w:val="00756BBB"/>
    <w:rsid w:val="00761952"/>
    <w:rsid w:val="00761B9B"/>
    <w:rsid w:val="00762474"/>
    <w:rsid w:val="0076439E"/>
    <w:rsid w:val="00767A4D"/>
    <w:rsid w:val="007814A8"/>
    <w:rsid w:val="00781A62"/>
    <w:rsid w:val="00781F2F"/>
    <w:rsid w:val="00782BB2"/>
    <w:rsid w:val="00783C0E"/>
    <w:rsid w:val="007861B8"/>
    <w:rsid w:val="00787383"/>
    <w:rsid w:val="00791B51"/>
    <w:rsid w:val="00795AD1"/>
    <w:rsid w:val="007B5456"/>
    <w:rsid w:val="007B5F65"/>
    <w:rsid w:val="007C767B"/>
    <w:rsid w:val="007D3C7C"/>
    <w:rsid w:val="007D687A"/>
    <w:rsid w:val="007E1BA0"/>
    <w:rsid w:val="007F2297"/>
    <w:rsid w:val="007F415C"/>
    <w:rsid w:val="007F55EC"/>
    <w:rsid w:val="007F6574"/>
    <w:rsid w:val="00831057"/>
    <w:rsid w:val="00833487"/>
    <w:rsid w:val="00837EF8"/>
    <w:rsid w:val="0084119C"/>
    <w:rsid w:val="00850CD4"/>
    <w:rsid w:val="00854A49"/>
    <w:rsid w:val="008578D0"/>
    <w:rsid w:val="008624DE"/>
    <w:rsid w:val="008634EB"/>
    <w:rsid w:val="00866945"/>
    <w:rsid w:val="008721D3"/>
    <w:rsid w:val="00874D9F"/>
    <w:rsid w:val="00876BD5"/>
    <w:rsid w:val="00892D94"/>
    <w:rsid w:val="00897C84"/>
    <w:rsid w:val="008A06BE"/>
    <w:rsid w:val="008A56FD"/>
    <w:rsid w:val="008D3DA6"/>
    <w:rsid w:val="008D5DA3"/>
    <w:rsid w:val="008E70F7"/>
    <w:rsid w:val="008F1D3B"/>
    <w:rsid w:val="008F7444"/>
    <w:rsid w:val="008F7A15"/>
    <w:rsid w:val="00905768"/>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0248"/>
    <w:rsid w:val="0098195A"/>
    <w:rsid w:val="00990EEE"/>
    <w:rsid w:val="0099580C"/>
    <w:rsid w:val="00996533"/>
    <w:rsid w:val="009A0093"/>
    <w:rsid w:val="009A3833"/>
    <w:rsid w:val="009A5F57"/>
    <w:rsid w:val="009A62E2"/>
    <w:rsid w:val="009A6E14"/>
    <w:rsid w:val="009A7EFA"/>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66B66"/>
    <w:rsid w:val="00A82FCC"/>
    <w:rsid w:val="00A83283"/>
    <w:rsid w:val="00A8479D"/>
    <w:rsid w:val="00A906A4"/>
    <w:rsid w:val="00A93581"/>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0A13"/>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2F24"/>
    <w:rsid w:val="00CC084E"/>
    <w:rsid w:val="00CC58ED"/>
    <w:rsid w:val="00CD7291"/>
    <w:rsid w:val="00D0135E"/>
    <w:rsid w:val="00D1046B"/>
    <w:rsid w:val="00D145EC"/>
    <w:rsid w:val="00D2185F"/>
    <w:rsid w:val="00D355FB"/>
    <w:rsid w:val="00D3760F"/>
    <w:rsid w:val="00D43C0B"/>
    <w:rsid w:val="00D44A74"/>
    <w:rsid w:val="00D57CD2"/>
    <w:rsid w:val="00D57E66"/>
    <w:rsid w:val="00D73350"/>
    <w:rsid w:val="00D76334"/>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E52BC"/>
    <w:rsid w:val="00DE5BBF"/>
    <w:rsid w:val="00DE6585"/>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3A59"/>
    <w:rsid w:val="00F763A4"/>
    <w:rsid w:val="00F80D67"/>
    <w:rsid w:val="00F81CF2"/>
    <w:rsid w:val="00F82A04"/>
    <w:rsid w:val="00F83A10"/>
    <w:rsid w:val="00F83DF3"/>
    <w:rsid w:val="00F941B8"/>
    <w:rsid w:val="00FA5FA5"/>
    <w:rsid w:val="00FA6721"/>
    <w:rsid w:val="00FA7365"/>
    <w:rsid w:val="00FA79A7"/>
    <w:rsid w:val="00FC643D"/>
    <w:rsid w:val="00FD1DAF"/>
    <w:rsid w:val="00FE3DCC"/>
    <w:rsid w:val="00FE53C8"/>
    <w:rsid w:val="00FE5FB7"/>
    <w:rsid w:val="04975AD2"/>
    <w:rsid w:val="0594524F"/>
    <w:rsid w:val="069B14FB"/>
    <w:rsid w:val="0CAA3723"/>
    <w:rsid w:val="0DB174B9"/>
    <w:rsid w:val="10304CD9"/>
    <w:rsid w:val="1A7D2E94"/>
    <w:rsid w:val="1C0E6215"/>
    <w:rsid w:val="1CD95F5E"/>
    <w:rsid w:val="1D885782"/>
    <w:rsid w:val="200D07A8"/>
    <w:rsid w:val="21EF0569"/>
    <w:rsid w:val="223F7CBE"/>
    <w:rsid w:val="238A6D94"/>
    <w:rsid w:val="24BD4126"/>
    <w:rsid w:val="276E37D1"/>
    <w:rsid w:val="2CEC676B"/>
    <w:rsid w:val="2DCE4402"/>
    <w:rsid w:val="32DF2643"/>
    <w:rsid w:val="356B41A8"/>
    <w:rsid w:val="35D24AF0"/>
    <w:rsid w:val="382F0057"/>
    <w:rsid w:val="385F1E9B"/>
    <w:rsid w:val="3F57713A"/>
    <w:rsid w:val="3F8D5553"/>
    <w:rsid w:val="40AC620E"/>
    <w:rsid w:val="41146625"/>
    <w:rsid w:val="419D08C1"/>
    <w:rsid w:val="43681A02"/>
    <w:rsid w:val="480118F4"/>
    <w:rsid w:val="494008E0"/>
    <w:rsid w:val="49D0333A"/>
    <w:rsid w:val="49EE5BF3"/>
    <w:rsid w:val="4CE1597C"/>
    <w:rsid w:val="4D353802"/>
    <w:rsid w:val="4DCF6286"/>
    <w:rsid w:val="4E3A506B"/>
    <w:rsid w:val="4EB002A9"/>
    <w:rsid w:val="501841D7"/>
    <w:rsid w:val="504B2249"/>
    <w:rsid w:val="5167583F"/>
    <w:rsid w:val="53346859"/>
    <w:rsid w:val="53F65E3A"/>
    <w:rsid w:val="5734258B"/>
    <w:rsid w:val="58FA41A0"/>
    <w:rsid w:val="59383A67"/>
    <w:rsid w:val="5BBF2B2D"/>
    <w:rsid w:val="5C7044AD"/>
    <w:rsid w:val="5EE274C8"/>
    <w:rsid w:val="60E646F3"/>
    <w:rsid w:val="63467598"/>
    <w:rsid w:val="66DA76CA"/>
    <w:rsid w:val="6715402C"/>
    <w:rsid w:val="69C6022E"/>
    <w:rsid w:val="6C340854"/>
    <w:rsid w:val="6DE7484E"/>
    <w:rsid w:val="6E027280"/>
    <w:rsid w:val="6E305BA5"/>
    <w:rsid w:val="71F87886"/>
    <w:rsid w:val="76E35273"/>
    <w:rsid w:val="7720360F"/>
    <w:rsid w:val="7A253BF5"/>
    <w:rsid w:val="7A7F4EFB"/>
    <w:rsid w:val="7AC606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unhideWhenUsed/>
    <w:qFormat/>
    <w:uiPriority w:val="99"/>
    <w:pPr>
      <w:spacing w:before="100" w:beforeAutospacing="1" w:after="100" w:afterAutospacing="1"/>
    </w:pPr>
    <w:rPr>
      <w:sz w:val="24"/>
      <w:szCs w:val="24"/>
      <w:lang w:val="en-IN" w:eastAsia="en-IN"/>
    </w:rPr>
  </w:style>
  <w:style w:type="paragraph" w:styleId="14">
    <w:name w:val="index 1"/>
    <w:basedOn w:val="1"/>
    <w:next w:val="1"/>
    <w:semiHidden/>
    <w:qFormat/>
    <w:uiPriority w:val="0"/>
    <w:pPr>
      <w:keepLines/>
    </w:pPr>
  </w:style>
  <w:style w:type="paragraph" w:styleId="15">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Hyperlink"/>
    <w:qFormat/>
    <w:uiPriority w:val="0"/>
    <w:rPr>
      <w:color w:val="0000FF"/>
      <w:u w:val="single"/>
    </w:rPr>
  </w:style>
  <w:style w:type="character" w:styleId="20">
    <w:name w:val="annotation reference"/>
    <w:unhideWhenUsed/>
    <w:qFormat/>
    <w:uiPriority w:val="0"/>
    <w:rPr>
      <w:sz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link w:val="36"/>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character" w:customStyle="1" w:styleId="36">
    <w:name w:val="CR Cover Page Zchn"/>
    <w:link w:val="25"/>
    <w:qFormat/>
    <w:locked/>
    <w:uiPriority w:val="0"/>
    <w:rPr>
      <w:rFonts w:ascii="Arial" w:hAnsi="Arial"/>
      <w:lang w:eastAsia="en-US"/>
    </w:rPr>
  </w:style>
  <w:style w:type="character" w:customStyle="1" w:styleId="37">
    <w:name w:val="Comment Text Char"/>
    <w:basedOn w:val="17"/>
    <w:link w:val="8"/>
    <w:semiHidden/>
    <w:qFormat/>
    <w:uiPriority w:val="0"/>
    <w:rPr>
      <w:rFonts w:ascii="Arial" w:hAnsi="Arial"/>
      <w:lang w:eastAsia="en-US"/>
    </w:rPr>
  </w:style>
  <w:style w:type="character" w:customStyle="1" w:styleId="38">
    <w:name w:val="Comment Subject Char"/>
    <w:basedOn w:val="37"/>
    <w:link w:val="15"/>
    <w:qFormat/>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07279-9996-4767-BD21-C99A381F1B5F}">
  <ds:schemaRefs/>
</ds:datastoreItem>
</file>

<file path=customXml/itemProps2.xml><?xml version="1.0" encoding="utf-8"?>
<ds:datastoreItem xmlns:ds="http://schemas.openxmlformats.org/officeDocument/2006/customXml" ds:itemID="{5EEBFC46-C30F-4EB5-9924-D62FB3DE50E7}">
  <ds:schemaRefs/>
</ds:datastoreItem>
</file>

<file path=customXml/itemProps3.xml><?xml version="1.0" encoding="utf-8"?>
<ds:datastoreItem xmlns:ds="http://schemas.openxmlformats.org/officeDocument/2006/customXml" ds:itemID="{EDC5730B-4335-49EE-8DF8-47B34963FE79}">
  <ds:schemaRefs/>
</ds:datastoreItem>
</file>

<file path=customXml/itemProps4.xml><?xml version="1.0" encoding="utf-8"?>
<ds:datastoreItem xmlns:ds="http://schemas.openxmlformats.org/officeDocument/2006/customXml" ds:itemID="{8F2E09F6-8652-4E14-AD73-FA95D634FBBC}">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453</Words>
  <Characters>2587</Characters>
  <Lines>21</Lines>
  <Paragraphs>6</Paragraphs>
  <TotalTime>43</TotalTime>
  <ScaleCrop>false</ScaleCrop>
  <LinksUpToDate>false</LinksUpToDate>
  <CharactersWithSpaces>3034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China Unicom</cp:lastModifiedBy>
  <cp:lastPrinted>2001-04-23T09:30:00Z</cp:lastPrinted>
  <dcterms:modified xsi:type="dcterms:W3CDTF">2024-11-04T03:15:43Z</dcterms:modified>
  <dc:title>Source: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0922FFD1C2C04CBEA290A0BE27B3CDF4_13</vt:lpwstr>
  </property>
</Properties>
</file>